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8" w:rsidRDefault="00FC44F8" w:rsidP="00FC44F8">
      <w:pPr>
        <w:pStyle w:val="Titolo1"/>
        <w:jc w:val="center"/>
        <w:rPr>
          <w:rFonts w:ascii="Arial" w:eastAsia="MS Mincho" w:hAnsi="Arial" w:cs="Arial"/>
          <w:sz w:val="28"/>
          <w:szCs w:val="28"/>
        </w:rPr>
      </w:pPr>
      <w:r>
        <w:rPr>
          <w:rFonts w:ascii="Arial" w:eastAsia="MS Mincho" w:hAnsi="Arial" w:cs="Arial"/>
          <w:sz w:val="28"/>
          <w:szCs w:val="28"/>
        </w:rPr>
        <w:t>Tra le imprese registrate diminuiscono i settori tradizionali. Positivo invece l’andamento del terziario.</w:t>
      </w:r>
    </w:p>
    <w:p w:rsidR="00FC44F8" w:rsidRDefault="00FC44F8" w:rsidP="00FC44F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Piacenza, 9 maggio 2017</w:t>
      </w:r>
      <w:r>
        <w:rPr>
          <w:rFonts w:ascii="Arial" w:hAnsi="Arial" w:cs="Arial"/>
        </w:rPr>
        <w:t xml:space="preserve"> –  E’ di </w:t>
      </w:r>
      <w:r>
        <w:rPr>
          <w:rFonts w:ascii="Arial" w:hAnsi="Arial" w:cs="Arial"/>
          <w:b/>
        </w:rPr>
        <w:t>29.689 aziend</w:t>
      </w:r>
      <w:r>
        <w:rPr>
          <w:rFonts w:ascii="Arial" w:hAnsi="Arial" w:cs="Arial"/>
        </w:rPr>
        <w:t xml:space="preserve">e la consistenza del registro imprese della Camera di commercio di Piacenza al termine del </w:t>
      </w:r>
      <w:r>
        <w:rPr>
          <w:rFonts w:ascii="Arial" w:hAnsi="Arial" w:cs="Arial"/>
          <w:b/>
        </w:rPr>
        <w:t>primo trimestre 2017</w:t>
      </w:r>
      <w:r>
        <w:rPr>
          <w:rFonts w:ascii="Arial" w:hAnsi="Arial" w:cs="Arial"/>
        </w:rPr>
        <w:t xml:space="preserve">. Di questo totale sono 518 le imprese interessate da procedure concorsuali e 914 in scioglimento (o liquidazione). Nel corso del trimestre si sono avute </w:t>
      </w:r>
      <w:r>
        <w:rPr>
          <w:rFonts w:ascii="Arial" w:hAnsi="Arial" w:cs="Arial"/>
          <w:b/>
        </w:rPr>
        <w:t>510 iscrizioni</w:t>
      </w:r>
      <w:r>
        <w:rPr>
          <w:rFonts w:ascii="Arial" w:hAnsi="Arial" w:cs="Arial"/>
        </w:rPr>
        <w:t xml:space="preserve"> e </w:t>
      </w:r>
      <w:r>
        <w:rPr>
          <w:rFonts w:ascii="Arial" w:hAnsi="Arial" w:cs="Arial"/>
          <w:b/>
        </w:rPr>
        <w:t>744 cessazioni</w:t>
      </w:r>
      <w:r>
        <w:rPr>
          <w:rFonts w:ascii="Arial" w:hAnsi="Arial" w:cs="Arial"/>
        </w:rPr>
        <w:t>.</w:t>
      </w:r>
    </w:p>
    <w:p w:rsidR="00FC44F8" w:rsidRDefault="00FC44F8" w:rsidP="00FC44F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Rispetto all’anno prima</w:t>
      </w:r>
      <w:r>
        <w:rPr>
          <w:rFonts w:ascii="Arial" w:hAnsi="Arial" w:cs="Arial"/>
        </w:rPr>
        <w:t xml:space="preserve"> (marzo 2016) lo stock di imprese è </w:t>
      </w:r>
      <w:r>
        <w:rPr>
          <w:rFonts w:ascii="Arial" w:hAnsi="Arial" w:cs="Arial"/>
          <w:b/>
        </w:rPr>
        <w:t>calato di 257 unità</w:t>
      </w:r>
      <w:r>
        <w:rPr>
          <w:rFonts w:ascii="Arial" w:hAnsi="Arial" w:cs="Arial"/>
        </w:rPr>
        <w:t>, con una variazione negativa di 0,86 punti percentuali. Analogo risultato di segno negativo si è verificato anche nelle province vicine. Positivo invece il differenziale a livello nazionale.</w:t>
      </w:r>
    </w:p>
    <w:p w:rsidR="00FC44F8" w:rsidRDefault="00FC44F8" w:rsidP="00FC44F8">
      <w:pPr>
        <w:pStyle w:val="Normale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Confronto tendenziale sul numero di imprese registrate, Piacenza e province di confronto (marzo 2016-marzo 2017)</w:t>
      </w:r>
    </w:p>
    <w:tbl>
      <w:tblPr>
        <w:tblW w:w="736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500"/>
        <w:gridCol w:w="1500"/>
        <w:gridCol w:w="1143"/>
        <w:gridCol w:w="1577"/>
      </w:tblGrid>
      <w:tr w:rsidR="00FC44F8" w:rsidTr="00FC44F8">
        <w:trPr>
          <w:trHeight w:val="315"/>
        </w:trPr>
        <w:tc>
          <w:tcPr>
            <w:tcW w:w="1640" w:type="dxa"/>
            <w:tcBorders>
              <w:top w:val="single" w:sz="4" w:space="0" w:color="9933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9933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Imprese Registrate</w:t>
            </w:r>
          </w:p>
        </w:tc>
        <w:tc>
          <w:tcPr>
            <w:tcW w:w="2720" w:type="dxa"/>
            <w:gridSpan w:val="2"/>
            <w:tcBorders>
              <w:top w:val="single" w:sz="4" w:space="0" w:color="993300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Variazione 2016-2017</w:t>
            </w:r>
          </w:p>
        </w:tc>
      </w:tr>
      <w:tr w:rsidR="00FC44F8" w:rsidTr="00FC44F8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i/>
                <w:iCs/>
                <w:color w:val="0000FF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i/>
                <w:iCs/>
                <w:color w:val="0000FF"/>
                <w:sz w:val="18"/>
                <w:szCs w:val="18"/>
                <w:lang w:eastAsia="ja-JP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Marzo 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Marzo 2017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Assoluta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Percentuale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Piacenza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29.946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29.689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-257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-0,86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Parma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46.041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45.951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-90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-0,20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Reggio Emilia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55.489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55.198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-291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-0,52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Cremona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29.463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29.297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-166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-0,56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Lodi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17.012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16.724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-288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-1,69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Pavia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48.097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47.232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-865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-1,80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Emilia Romagna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460.152</w:t>
            </w:r>
          </w:p>
        </w:tc>
        <w:tc>
          <w:tcPr>
            <w:tcW w:w="1500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457.255</w:t>
            </w:r>
          </w:p>
        </w:tc>
        <w:tc>
          <w:tcPr>
            <w:tcW w:w="1143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-2.897 </w:t>
            </w:r>
          </w:p>
        </w:tc>
        <w:tc>
          <w:tcPr>
            <w:tcW w:w="1577" w:type="dxa"/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color w:val="FF0000"/>
                <w:sz w:val="18"/>
                <w:szCs w:val="18"/>
                <w:lang w:eastAsia="ja-JP"/>
              </w:rPr>
              <w:t xml:space="preserve">-0,63 </w:t>
            </w:r>
          </w:p>
        </w:tc>
      </w:tr>
      <w:tr w:rsidR="00FC44F8" w:rsidTr="00FC44F8">
        <w:trPr>
          <w:trHeight w:val="405"/>
        </w:trPr>
        <w:tc>
          <w:tcPr>
            <w:tcW w:w="1640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ITALIA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6.038.891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>6.051.290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12.399 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993300"/>
              <w:right w:val="nil"/>
            </w:tcBorders>
            <w:noWrap/>
            <w:vAlign w:val="bottom"/>
            <w:hideMark/>
          </w:tcPr>
          <w:p w:rsidR="00FC44F8" w:rsidRDefault="00FC44F8">
            <w:pPr>
              <w:suppressAutoHyphens w:val="0"/>
              <w:jc w:val="center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0,21 </w:t>
            </w:r>
          </w:p>
        </w:tc>
      </w:tr>
    </w:tbl>
    <w:p w:rsidR="00FC44F8" w:rsidRDefault="00FC44F8" w:rsidP="00FC44F8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Fonte: elaborazioni CCIAA Piacenza su dati </w:t>
      </w:r>
      <w:proofErr w:type="spellStart"/>
      <w:r>
        <w:rPr>
          <w:rFonts w:ascii="Arial" w:hAnsi="Arial" w:cs="Arial"/>
          <w:i/>
          <w:sz w:val="20"/>
          <w:szCs w:val="20"/>
        </w:rPr>
        <w:t>Infocamere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Stockview</w:t>
      </w:r>
      <w:proofErr w:type="spellEnd"/>
    </w:p>
    <w:p w:rsidR="00FC44F8" w:rsidRDefault="00FC44F8" w:rsidP="00FC44F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Va sottolineato che il calo di imprese piacentine ha visto partecipi i settori più tradizionali (in ordine agricoltura, costruzioni, commercio, attività manifatturiere e trasporti) mentre nei settori del terziario si sono verificate numerose variazioni positive (servizi di informazione e comunicazione, attività finanziarie ed assicurative, servizi alle imprese, altre attività dei servizi).</w:t>
      </w:r>
    </w:p>
    <w:p w:rsidR="00FC44F8" w:rsidRDefault="00FC44F8" w:rsidP="00FC44F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punto di vista della natura giuridica si segnala che </w:t>
      </w:r>
      <w:r>
        <w:rPr>
          <w:rFonts w:ascii="Arial" w:hAnsi="Arial" w:cs="Arial"/>
          <w:b/>
        </w:rPr>
        <w:t>continua il rafforzamento delle società di capitale</w:t>
      </w:r>
      <w:r>
        <w:rPr>
          <w:rFonts w:ascii="Arial" w:hAnsi="Arial" w:cs="Arial"/>
        </w:rPr>
        <w:t xml:space="preserve"> (arrivate a rappresentare il 21,8% dello stock complessivo) cui si accompagnano la riduzione delle società di persone e delle ditte individuali.</w:t>
      </w:r>
    </w:p>
    <w:p w:rsidR="00FC44F8" w:rsidRDefault="00FC44F8" w:rsidP="00FC44F8">
      <w:pPr>
        <w:pStyle w:val="NormaleWeb"/>
        <w:jc w:val="both"/>
        <w:rPr>
          <w:rFonts w:ascii="Arial" w:hAnsi="Arial" w:cs="Arial"/>
        </w:rPr>
      </w:pPr>
    </w:p>
    <w:p w:rsidR="00FC44F8" w:rsidRDefault="00FC44F8" w:rsidP="00FC44F8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Nel contesto piacentino il 27,7% delle imprese registrate ha la qualifica di impresa artigiana (la media nazionale è del 22%). Le imprese straniere pesano per l’11% sul totale (sono il 9,5% nella media Italia) mentre quelle femminili per il 21,5% (in linea con il dato nazionale che è del 21,7%).</w:t>
      </w:r>
    </w:p>
    <w:p w:rsidR="00FC44F8" w:rsidRDefault="00FC44F8" w:rsidP="00FC44F8">
      <w:pPr>
        <w:pStyle w:val="NormaleWeb"/>
        <w:jc w:val="both"/>
        <w:rPr>
          <w:rFonts w:ascii="Arial" w:hAnsi="Arial" w:cs="Arial"/>
          <w:sz w:val="22"/>
        </w:rPr>
      </w:pPr>
    </w:p>
    <w:p w:rsidR="00EB5883" w:rsidRDefault="00EB5883">
      <w:bookmarkStart w:id="0" w:name="_GoBack"/>
      <w:bookmarkEnd w:id="0"/>
    </w:p>
    <w:sectPr w:rsidR="00EB5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8"/>
    <w:rsid w:val="00EB5883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4F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qFormat/>
    <w:rsid w:val="00FC44F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44F8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NormaleWeb">
    <w:name w:val="Normal (Web)"/>
    <w:basedOn w:val="Normale"/>
    <w:semiHidden/>
    <w:unhideWhenUsed/>
    <w:rsid w:val="00FC44F8"/>
    <w:pPr>
      <w:suppressAutoHyphens w:val="0"/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44F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qFormat/>
    <w:rsid w:val="00FC44F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C44F8"/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NormaleWeb">
    <w:name w:val="Normal (Web)"/>
    <w:basedOn w:val="Normale"/>
    <w:semiHidden/>
    <w:unhideWhenUsed/>
    <w:rsid w:val="00FC44F8"/>
    <w:pPr>
      <w:suppressAutoHyphens w:val="0"/>
      <w:spacing w:before="100" w:beforeAutospacing="1" w:after="100" w:afterAutospacing="1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2017-05-09T09:41:00Z</dcterms:created>
  <dcterms:modified xsi:type="dcterms:W3CDTF">2017-05-09T09:41:00Z</dcterms:modified>
</cp:coreProperties>
</file>