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1" w:rsidRDefault="009436A1" w:rsidP="009436A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Ozono estivo: situazione critica in tutta la regione</w:t>
      </w:r>
    </w:p>
    <w:p w:rsidR="009436A1" w:rsidRDefault="009436A1" w:rsidP="009436A1">
      <w:pPr>
        <w:spacing w:after="0"/>
        <w:jc w:val="center"/>
      </w:pPr>
    </w:p>
    <w:p w:rsidR="009436A1" w:rsidRDefault="009436A1" w:rsidP="009436A1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Dopo il </w:t>
      </w:r>
      <w:proofErr w:type="spellStart"/>
      <w:r>
        <w:rPr>
          <w:b/>
          <w:i/>
          <w:sz w:val="28"/>
          <w:szCs w:val="28"/>
        </w:rPr>
        <w:t>lockdown</w:t>
      </w:r>
      <w:proofErr w:type="spellEnd"/>
      <w:r>
        <w:rPr>
          <w:b/>
          <w:i/>
          <w:sz w:val="28"/>
          <w:szCs w:val="28"/>
        </w:rPr>
        <w:t xml:space="preserve"> la scarsa qualità dell’aria torna nel bacino padano anche in estate. </w:t>
      </w:r>
    </w:p>
    <w:p w:rsidR="009436A1" w:rsidRDefault="009436A1" w:rsidP="009436A1">
      <w:pPr>
        <w:spacing w:after="0"/>
        <w:jc w:val="center"/>
        <w:rPr>
          <w:b/>
          <w:i/>
          <w:sz w:val="28"/>
          <w:szCs w:val="28"/>
        </w:rPr>
      </w:pPr>
    </w:p>
    <w:p w:rsidR="009436A1" w:rsidRDefault="009436A1" w:rsidP="009436A1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 stazioni di monitoraggio già oltre i limiti e il caldo dei prossimi giorni può peggiorare la situazione</w:t>
      </w:r>
    </w:p>
    <w:p w:rsidR="009436A1" w:rsidRDefault="009436A1" w:rsidP="009436A1">
      <w:pPr>
        <w:spacing w:after="0"/>
        <w:jc w:val="center"/>
        <w:rPr>
          <w:b/>
          <w:i/>
          <w:sz w:val="28"/>
          <w:szCs w:val="28"/>
        </w:rPr>
      </w:pPr>
    </w:p>
    <w:p w:rsidR="009436A1" w:rsidRDefault="009436A1" w:rsidP="009436A1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Legambiente: “non arretrare sulle azioni da adottare in Pianura Padana sulla qualità dell’aria”</w:t>
      </w: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</w:pPr>
      <w:r>
        <w:t xml:space="preserve">Dopo aver visto un’importante riduzione della concentrazione degli ossidi di azoto durante il periodo di </w:t>
      </w:r>
      <w:proofErr w:type="spellStart"/>
      <w:r>
        <w:t>lockdown</w:t>
      </w:r>
      <w:proofErr w:type="spellEnd"/>
      <w:r>
        <w:t xml:space="preserve">, con la ripresa delle consuete attività ed in particolare degli spostamenti con mezzi privati, ecco ripresentarsi un problema di inquinamento dell’aria  tipicamente estivo: quello legato alle concentrazioni di ozono, una molecola che si crea a partire da altri tipi di inquinanti, in particolare gli </w:t>
      </w:r>
      <w:proofErr w:type="spellStart"/>
      <w:r>
        <w:t>NOx</w:t>
      </w:r>
      <w:proofErr w:type="spellEnd"/>
      <w:r>
        <w:t xml:space="preserve"> e favorito anche dalle condizioni meteorologiche che ne innalzano i valori in atmosfera.</w:t>
      </w: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</w:pPr>
      <w:r>
        <w:t>﻿</w:t>
      </w:r>
      <w:r>
        <w:rPr>
          <w:color w:val="000000" w:themeColor="text1"/>
        </w:rPr>
        <w:t>Dunque, proprio mentre le Regioni del nord comunicano l’intenzione di fare slittare il bando degli Euro4 previsto ad ottobre,</w:t>
      </w:r>
      <w:r>
        <w:t xml:space="preserve"> in Emilia-Romagna sono </w:t>
      </w:r>
      <w:r>
        <w:rPr>
          <w:b/>
        </w:rPr>
        <w:t>già 15</w:t>
      </w:r>
      <w:r>
        <w:t xml:space="preserve"> le stazioni di monitoraggio dell’ozono, in 7 province, che </w:t>
      </w:r>
      <w:r>
        <w:rPr>
          <w:b/>
        </w:rPr>
        <w:t>hanno superato il limite normativo annuale dei 25 giorni</w:t>
      </w:r>
      <w:r>
        <w:t xml:space="preserve"> di superamento consentiti sul valore obiettivo di 120 </w:t>
      </w:r>
      <w:r>
        <w:rPr>
          <w:rFonts w:cs="Calibri"/>
        </w:rPr>
        <w:t>µg</w:t>
      </w:r>
      <w:r>
        <w:t>/m3 sulla media mobile delle 8 ore.</w:t>
      </w: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</w:pPr>
      <w:r>
        <w:t>Nei giorni scorsi sono stati inoltre registrati in Emilia-Romagna superamenti delle soglie di informazione (limite di 180 µg/m3 nella media oraria): le concentrazioni di ozono hanno raggiunto i picchi di 198 µg/m3﻿ a Verucchio (PR) il 31 luglio 2020.</w:t>
      </w: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</w:pPr>
      <w:r>
        <w:t xml:space="preserve">La particolarità è che elevate concentrazioni di questa molecola, si possono rilevare anche molto lontano dai punti di emissione dei precursori (principalmente gli ossidi di azoto), poiché </w:t>
      </w:r>
      <w:r>
        <w:rPr>
          <w:b/>
        </w:rPr>
        <w:t>questo tipo di inquinamento si diffonde con facilità a grande distanza</w:t>
      </w:r>
      <w:r>
        <w:t xml:space="preserve">, perciò anche in luoghi comunemente ritenuti immuni da inquinamento, come ad esempio le aree verdi urbane ed extraurbane e in montagna. </w:t>
      </w: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</w:pPr>
      <w:r>
        <w:t xml:space="preserve">Tra i principali imputati le combustioni dovute ai motori a scoppio e il nostro stile di spostamenti ancora troppo incentrato sull’utilizzo dell’auto. </w:t>
      </w: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</w:pPr>
      <w:r>
        <w:t xml:space="preserve">«Per contenere il problema dell’inquinamento dell’aria anche in estate è fondamentale </w:t>
      </w:r>
      <w:r>
        <w:rPr>
          <w:b/>
        </w:rPr>
        <w:t>non abbassare la guardia sulle politiche per ridurre il traffico su gomma, sulle emissioni industriali e sugli stili di vita</w:t>
      </w:r>
      <w:r>
        <w:t>. Serve dunque una politica forte di promozione della mobilità alternativa per persone e merci e per la riconversione dei mezzi verso alimentazioni elettriche</w:t>
      </w:r>
      <w:r>
        <w:rPr>
          <w:rFonts w:cs="Calibri"/>
        </w:rPr>
        <w:t>»</w:t>
      </w:r>
      <w:r>
        <w:t xml:space="preserve"> - sottolinea Legambiente.</w:t>
      </w: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Preoccupante dunque la notizia data dalle Regioni padane di venir meno ad alcuni dei provvedimenti previsti ad ottobre – a causa dell’emergenza coronavirus -  senza nessuna </w:t>
      </w:r>
      <w:r>
        <w:rPr>
          <w:color w:val="000000" w:themeColor="text1"/>
        </w:rPr>
        <w:lastRenderedPageBreak/>
        <w:t xml:space="preserve">alternativa sul piatto. Sono invece tante le azioni che le amministrazioni potrebbero mettere in campo, a costi contenuti: ridurre le velocità di percorrenza in autostrada, applicare misure a favore della mobilità sostenibile (a maggio Legambiente aveva già lanciato le proprie proposte post </w:t>
      </w: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 xml:space="preserve">, visibili a questo </w:t>
      </w:r>
      <w:hyperlink r:id="rId5" w:history="1">
        <w:r>
          <w:rPr>
            <w:rStyle w:val="Collegamentoipertestuale"/>
          </w:rPr>
          <w:t>link</w:t>
        </w:r>
      </w:hyperlink>
      <w:r>
        <w:rPr>
          <w:color w:val="000000" w:themeColor="text1"/>
        </w:rPr>
        <w:t>), aumentare massicciamente corsie preferenziali, piste ciclabili e zone trenta, favorire il passaggio all’elettrico delle flotte pubbliche e delle aziende partecipate.</w:t>
      </w: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</w:pPr>
      <w:r>
        <w:t xml:space="preserve">Di seguito la </w:t>
      </w:r>
      <w:r>
        <w:rPr>
          <w:b/>
        </w:rPr>
        <w:t>tabella riepilogativa</w:t>
      </w:r>
      <w:r>
        <w:t xml:space="preserve"> (aggiornata al 31 luglio 2020) delle centraline che hanno superato i limiti annuali consentiti per l’ozono (dati ARPAE):</w:t>
      </w:r>
    </w:p>
    <w:p w:rsidR="009436A1" w:rsidRDefault="009436A1" w:rsidP="009436A1">
      <w:pPr>
        <w:spacing w:after="0"/>
        <w:jc w:val="both"/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Provincia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Stazione di fondo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Tipo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N. progressivo di superamenti del valore obiettivo (120 µg/m3)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PC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Besenzone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rurale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35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PC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Corte Brugnatella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rurale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27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PC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Lugagnano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suburbana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38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PC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 xml:space="preserve">Parco </w:t>
            </w:r>
            <w:proofErr w:type="spellStart"/>
            <w:r>
              <w:t>Montecucco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urbana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45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PR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Cittadella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urbana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26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PR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Langhirano-Badia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rurale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28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RE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Guastalla - S. Rocco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rurale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41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RE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Castellarano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suburbana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30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RE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Reggio nell’Emilia - S. Lazzaro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urbana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31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MO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Mirandola - Gavello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Rurale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27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MO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Parco Ferrari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urbana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40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MO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 xml:space="preserve">Sassuolo - Parco </w:t>
            </w:r>
            <w:proofErr w:type="spellStart"/>
            <w:r>
              <w:t>Edilcarani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urbana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28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Cento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suburbana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31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RN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Verucchio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suburbana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37</w:t>
            </w:r>
          </w:p>
        </w:tc>
      </w:tr>
      <w:tr w:rsidR="009436A1" w:rsidTr="009436A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FC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Parco Resistenza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both"/>
            </w:pPr>
            <w:r>
              <w:t>Fondo urbana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1" w:rsidRDefault="009436A1">
            <w:pPr>
              <w:jc w:val="center"/>
            </w:pPr>
            <w:r>
              <w:t>26</w:t>
            </w:r>
          </w:p>
        </w:tc>
      </w:tr>
    </w:tbl>
    <w:p w:rsidR="009436A1" w:rsidRDefault="009436A1" w:rsidP="009436A1">
      <w:pPr>
        <w:spacing w:after="0"/>
      </w:pP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</w:pPr>
      <w:r>
        <w:t xml:space="preserve">Pur essendo meno noto dell’inquinamento invernale da polveri sottili, </w:t>
      </w:r>
      <w:r>
        <w:rPr>
          <w:b/>
        </w:rPr>
        <w:t>l’ozono troposferico</w:t>
      </w:r>
      <w:r>
        <w:t xml:space="preserve"> rappresenta un </w:t>
      </w:r>
      <w:r>
        <w:rPr>
          <w:b/>
        </w:rPr>
        <w:t>inquinante altrettanto pericoloso</w:t>
      </w:r>
      <w:r>
        <w:t xml:space="preserve">. Colpisce principalmente </w:t>
      </w:r>
      <w:r>
        <w:rPr>
          <w:b/>
        </w:rPr>
        <w:t>nei periodi di maggior intensità solare e di calore</w:t>
      </w:r>
      <w:r>
        <w:t xml:space="preserve"> e fa sfumare la speranza di una tregua per i nostri polmoni: causa problemi come irritazioni delle mucose dell’apparato respiratorio e degli occhi, e aggrava specialmente gli individui più sensibili della popolazione (anziani e bambini). </w:t>
      </w:r>
    </w:p>
    <w:p w:rsidR="009436A1" w:rsidRDefault="009436A1" w:rsidP="009436A1">
      <w:pPr>
        <w:spacing w:after="0"/>
        <w:jc w:val="both"/>
      </w:pPr>
    </w:p>
    <w:p w:rsidR="009436A1" w:rsidRDefault="009436A1" w:rsidP="009436A1">
      <w:pPr>
        <w:spacing w:after="0"/>
        <w:jc w:val="both"/>
      </w:pPr>
      <w:r>
        <w:t>L’ozono, infatti, può irritare il sistema respiratorio, ridurre la funzione polmonare, aggravare l’asma e altre patologie respiratorie e provocare l’infiammazione del sottile strato di cellule che riveste le vie respiratorie. Non solo: studi hanno suggerito che può ridurre le capacità del sistema immunitario a combattere le infezioni dell´albero respiratorio. Inoltre, l’esposizione ad ozono può accelerare il naturale processo di invecchiamento della funzione polmonare.</w:t>
      </w:r>
    </w:p>
    <w:p w:rsidR="009436A1" w:rsidRDefault="009436A1" w:rsidP="009436A1">
      <w:pPr>
        <w:spacing w:after="0"/>
        <w:jc w:val="both"/>
      </w:pPr>
    </w:p>
    <w:p w:rsidR="003B1F8B" w:rsidRDefault="003B1F8B">
      <w:bookmarkStart w:id="0" w:name="_GoBack"/>
      <w:bookmarkEnd w:id="0"/>
    </w:p>
    <w:sectPr w:rsidR="003B1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A1"/>
    <w:rsid w:val="003B1F8B"/>
    <w:rsid w:val="009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6A1"/>
    <w:pPr>
      <w:suppressAutoHyphens/>
      <w:spacing w:after="80" w:line="240" w:lineRule="auto"/>
      <w:contextualSpacing/>
    </w:pPr>
    <w:rPr>
      <w:rFonts w:ascii="Calibri" w:eastAsia="Times" w:hAnsi="Calibri" w:cs="Times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436A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436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6A1"/>
    <w:pPr>
      <w:suppressAutoHyphens/>
      <w:spacing w:after="80" w:line="240" w:lineRule="auto"/>
      <w:contextualSpacing/>
    </w:pPr>
    <w:rPr>
      <w:rFonts w:ascii="Calibri" w:eastAsia="Times" w:hAnsi="Calibri" w:cs="Times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436A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436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ambiente.emiliaromagna.it/2020/06/08/le-proposte-di-legambiente-per-la-mobilita-post-covid-in-regione-coniugare-welfare-sicurezza-e-minor-inquinamen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2020-08-01T16:59:00Z</dcterms:created>
  <dcterms:modified xsi:type="dcterms:W3CDTF">2020-08-01T16:59:00Z</dcterms:modified>
</cp:coreProperties>
</file>